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2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ОПИСАНИЕ КОМПЕТЕНЦИИ</w:t>
      </w:r>
      <w:r/>
    </w:p>
    <w:p>
      <w:pPr>
        <w:pStyle w:val="682"/>
        <w:jc w:val="center"/>
      </w:pPr>
      <w:r>
        <w:rPr>
          <w:rFonts w:ascii="Times New Roman" w:hAnsi="Times New Roman" w:cs="Times New Roman"/>
          <w:sz w:val="72"/>
          <w:szCs w:val="72"/>
        </w:rPr>
        <w:t xml:space="preserve">«</w:t>
      </w:r>
      <w:r>
        <w:rPr>
          <w:rFonts w:ascii="Times New Roman" w:hAnsi="Times New Roman" w:cs="Times New Roman"/>
          <w:sz w:val="72"/>
          <w:szCs w:val="72"/>
        </w:rPr>
        <w:t xml:space="preserve">ТЕХНОЛОГИИ ИНФОРМАЦИОННОГО МОДЕЛИРОВАНИЯ </w:t>
      </w:r>
      <w:r>
        <w:rPr>
          <w:rFonts w:ascii="Times New Roman" w:hAnsi="Times New Roman" w:cs="Times New Roman"/>
          <w:sz w:val="72"/>
          <w:szCs w:val="72"/>
          <w:lang w:val="en-US"/>
        </w:rPr>
        <w:t xml:space="preserve">BIM</w:t>
      </w:r>
      <w:r>
        <w:rPr>
          <w:rFonts w:ascii="Times New Roman" w:hAnsi="Times New Roman" w:cs="Times New Roman"/>
          <w:sz w:val="72"/>
          <w:szCs w:val="72"/>
        </w:rPr>
        <w:t xml:space="preserve">»</w:t>
      </w:r>
      <w:r/>
    </w:p>
    <w:p>
      <w:pPr>
        <w:pStyle w:val="682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Наименование компетенции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Технологии информационного моделирования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BIM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/>
    </w:p>
    <w:p>
      <w:pPr>
        <w:pStyle w:val="682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Формат участия в соревновании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: командный (2 чел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овека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команде)</w:t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/>
    </w:p>
    <w:p>
      <w:pPr>
        <w:pStyle w:val="682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Описание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компетенции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pStyle w:val="682"/>
        <w:ind w:firstLine="720"/>
        <w:jc w:val="both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Соревнования по компетенции представляют собой конкурентную работу проектных групп (команд), осуществляющих проработку конкурсного задания.</w:t>
      </w:r>
      <w:r/>
    </w:p>
    <w:p>
      <w:pPr>
        <w:pStyle w:val="682"/>
        <w:jc w:val="both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Команда состоит из 2-х (двух) специалистов в сфере информационного моделирования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строительстве, владеющих знаниями и умениями по следующим специальностям/специализациям:</w:t>
      </w:r>
      <w:r/>
    </w:p>
    <w:p>
      <w:pPr>
        <w:pStyle w:val="682"/>
        <w:numPr>
          <w:ilvl w:val="0"/>
          <w:numId w:val="5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BIM (ТИМ)-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техник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разработка информационной модели по профильному направлению проекта», (трудовая функция B/01.6), а также оформление технической документации с испол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ьзованием информационной модели (трудовая функция B/02.6);</w:t>
      </w:r>
      <w:r/>
    </w:p>
    <w:p>
      <w:pPr>
        <w:pStyle w:val="682"/>
        <w:numPr>
          <w:ilvl w:val="0"/>
          <w:numId w:val="3"/>
        </w:numPr>
        <w:jc w:val="both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BIM (ТИМ)-координатор — организация коллективной работы с информационной моделью в среде общих данных (трудовая функция C/03.6), координация информационных моделей и их проверка на соответствие пре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дъявляемым требованиям (C/04.6).</w:t>
      </w:r>
      <w:r/>
    </w:p>
    <w:p>
      <w:pPr>
        <w:pStyle w:val="682"/>
        <w:jc w:val="both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Предполагается, что участники будут выполнять задания по своему основному профилю и смежному. Распределение ролей в рамках исполнения задания не регламентируется, поэтому роли могут меняться от персоналии к персоналии в теч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ении всего периода выполнения задания. Роль BIM-менеджер или BIM-координатор необходима для фиксации процедуры выдачи и согласования заданий.</w:t>
      </w:r>
      <w:r/>
    </w:p>
    <w:p>
      <w:pPr>
        <w:pStyle w:val="682"/>
        <w:jc w:val="both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компетенции предусматривает знание программ:</w:t>
      </w:r>
      <w:r/>
    </w:p>
    <w:p>
      <w:pPr>
        <w:pStyle w:val="682"/>
        <w:numPr>
          <w:ilvl w:val="0"/>
          <w:numId w:val="8"/>
        </w:numPr>
        <w:ind w:left="0" w:firstLine="360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BIM-систем для разработки и координации информационных моде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лей и возможность экспорта в соответствии со стандартом IFC в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ерсии не ниже 4.0.2.1 и определением модельного вида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Reference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View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версии 1.2;</w:t>
      </w:r>
      <w:r/>
    </w:p>
    <w:p>
      <w:pPr>
        <w:pStyle w:val="682"/>
        <w:numPr>
          <w:ilvl w:val="0"/>
          <w:numId w:val="8"/>
        </w:numPr>
        <w:ind w:left="0" w:firstLine="360"/>
        <w:jc w:val="both"/>
        <w:spacing w:after="0" w:line="276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система управления проектно-конструкторским документооборотом и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процессами информационного моделирования (СОД);</w:t>
      </w:r>
      <w:r/>
    </w:p>
    <w:p>
      <w:pPr>
        <w:pStyle w:val="682"/>
        <w:numPr>
          <w:ilvl w:val="0"/>
          <w:numId w:val="8"/>
        </w:numPr>
        <w:ind w:left="0" w:firstLine="360"/>
        <w:jc w:val="both"/>
        <w:spacing w:after="0" w:line="276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сис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темы планирования и управления работ.</w:t>
      </w:r>
      <w:r/>
    </w:p>
    <w:p>
      <w:pPr>
        <w:pStyle w:val="682"/>
        <w:ind w:firstLine="851"/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основе компетенции лежит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работа 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технологией BIM. Термин </w:t>
      </w:r>
      <w:r>
        <w:rPr>
          <w:rStyle w:val="701"/>
          <w:rFonts w:ascii="Times New Roman" w:hAnsi="Times New Roman" w:cs="Times New Roman"/>
          <w:color w:val="000000"/>
          <w:sz w:val="28"/>
          <w:szCs w:val="28"/>
        </w:rPr>
        <w:t xml:space="preserve">BIM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 сокращение от </w:t>
      </w:r>
      <w:r>
        <w:rPr>
          <w:rStyle w:val="701"/>
          <w:rFonts w:ascii="Times New Roman" w:hAnsi="Times New Roman" w:cs="Times New Roman"/>
          <w:color w:val="000000"/>
          <w:sz w:val="28"/>
          <w:szCs w:val="28"/>
        </w:rPr>
        <w:t xml:space="preserve">Building</w:t>
      </w:r>
      <w:r>
        <w:rPr>
          <w:rStyle w:val="70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701"/>
          <w:rFonts w:ascii="Times New Roman" w:hAnsi="Times New Roman" w:cs="Times New Roman"/>
          <w:color w:val="000000"/>
          <w:sz w:val="28"/>
          <w:szCs w:val="28"/>
        </w:rPr>
        <w:t xml:space="preserve">Information</w:t>
      </w:r>
      <w:r>
        <w:rPr>
          <w:rStyle w:val="70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701"/>
          <w:rFonts w:ascii="Times New Roman" w:hAnsi="Times New Roman" w:cs="Times New Roman"/>
          <w:color w:val="000000"/>
          <w:sz w:val="28"/>
          <w:szCs w:val="28"/>
        </w:rPr>
        <w:t xml:space="preserve">Model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информационная модель здания или информационное моделирование зданий, если речь идет о процессе или техно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логии. В российском законодательстве закреплен аналогичный термин – технология информационного моделирования или ТИМ.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Технология BIM создает уникальные цифровые объекты, где вся информация о проекте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накапливается в едином информационном поле, которое включ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ает все этапы проекта от идеи к его полной реализации.</w:t>
      </w:r>
      <w:r/>
    </w:p>
    <w:p>
      <w:pPr>
        <w:pStyle w:val="682"/>
        <w:ind w:firstLine="851"/>
        <w:jc w:val="both"/>
        <w:spacing w:after="0" w:line="276" w:lineRule="auto"/>
        <w:shd w:val="clear" w:color="auto" w:fill="ffffff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BIM-модель предназначена для повышения экономической эффективности в процессе строительства начиная с самого раннего этапа проектирования; это возможно благодаря тесному взаимодействию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специалистов, детальному визуальному отображению и параметризации строительных элементов. Благодаря комплексному подходу все участники проекта могут в режиме реального времени отслеживать любые изменения в проекте, с тем чтобы своевременно корректировать и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координировать запланированные работы.</w:t>
      </w:r>
      <w:r/>
    </w:p>
    <w:p>
      <w:pPr>
        <w:pStyle w:val="6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        Реальная ценность и преимущества использования технологии BIM и создания на ее основе BIM-модели оценены на всех стадиях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жизненного цикла, включая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предпроектную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стадию, проектирование, строительство, эксплу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атацию и демонтаж объекта капитального строительства.</w:t>
      </w:r>
      <w:r/>
    </w:p>
    <w:p>
      <w:pPr>
        <w:pStyle w:val="684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России по теме информационного моделирования введено в действие несколько десятков регламентирующих документов. Использование информационного моделирования закреплено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Градостроительном кодексе РФ.</w:t>
      </w:r>
      <w:r/>
    </w:p>
    <w:p>
      <w:pPr>
        <w:pStyle w:val="682"/>
        <w:ind w:firstLine="720"/>
        <w:jc w:val="both"/>
        <w:spacing w:after="0" w:line="276" w:lineRule="auto"/>
        <w:shd w:val="clear" w:color="auto" w:fill="ffffff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С 1 января 2022 года использование BIM для объектов, проектируемых на бюджетные средства обязательно (Постановление Правительства №331 от 05.03.2021).</w:t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/>
    </w:p>
    <w:p>
      <w:pPr>
        <w:pStyle w:val="682"/>
        <w:jc w:val="both"/>
        <w:keepNext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  <w:outlineLvl w:val="1"/>
      </w:pPr>
      <w:r/>
      <w:bookmarkStart w:id="0" w:name="_Toc123113308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Нормативные правовые акты</w:t>
      </w:r>
      <w:bookmarkEnd w:id="0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/>
    </w:p>
    <w:p>
      <w:pPr>
        <w:pStyle w:val="682"/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Поскольку Описание компетенции содержит лишь 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формацию, относящуюся к соответствующей компетенции, его необходимо использовать на основании следующих документов:</w:t>
      </w:r>
      <w:r/>
    </w:p>
    <w:p>
      <w:pPr>
        <w:pStyle w:val="682"/>
        <w:numPr>
          <w:ilvl w:val="0"/>
          <w:numId w:val="7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ФГОС СПО</w:t>
      </w:r>
      <w:r/>
    </w:p>
    <w:p>
      <w:pPr>
        <w:pStyle w:val="682"/>
        <w:numPr>
          <w:ilvl w:val="0"/>
          <w:numId w:val="9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ФГОС  08.02.01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Строительство и эксплуатация зданий и сооружений . Приказ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Минобрнауки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России от 10.01.2018 N 2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pStyle w:val="682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Профессиональный ста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ндарт</w:t>
      </w:r>
      <w:r/>
    </w:p>
    <w:p>
      <w:pPr>
        <w:pStyle w:val="682"/>
        <w:numPr>
          <w:ilvl w:val="0"/>
          <w:numId w:val="10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16.151. Специалист в сфере информационного моделирования в строительстве. Утвержден </w:t>
      </w:r>
      <w:r>
        <w:rPr>
          <w:rStyle w:val="699"/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труда и социальной защиты Российской Федерации от 16 ноября 2020 года N 787н</w:t>
      </w:r>
      <w:r>
        <w:rPr>
          <w:rStyle w:val="699"/>
          <w:rFonts w:ascii="Times New Roman" w:hAnsi="Times New Roman" w:cs="Times New Roman"/>
          <w:color w:val="000000"/>
          <w:sz w:val="28"/>
          <w:szCs w:val="28"/>
        </w:rPr>
        <w:t xml:space="preserve">;</w:t>
      </w:r>
      <w:r/>
    </w:p>
    <w:p>
      <w:pPr>
        <w:pStyle w:val="682"/>
        <w:numPr>
          <w:ilvl w:val="0"/>
          <w:numId w:val="10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10.008 Архитектор. Утвержден приказом Министерства труда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защиты Российской Федерации от 06.04.2022 № 202н.</w:t>
      </w:r>
      <w:r/>
    </w:p>
    <w:p>
      <w:pPr>
        <w:pStyle w:val="682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ЕТКС</w:t>
      </w:r>
      <w:r/>
    </w:p>
    <w:p>
      <w:pPr>
        <w:pStyle w:val="682"/>
        <w:numPr>
          <w:ilvl w:val="0"/>
          <w:numId w:val="11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699"/>
          <w:rFonts w:ascii="Times New Roman" w:hAnsi="Times New Roman" w:cs="Times New Roman"/>
          <w:sz w:val="28"/>
          <w:szCs w:val="28"/>
          <w:lang w:val="en-US"/>
        </w:rPr>
        <w:t xml:space="preserve">BIM</w:t>
      </w:r>
      <w:r>
        <w:rPr>
          <w:rStyle w:val="699"/>
          <w:rFonts w:ascii="Times New Roman" w:hAnsi="Times New Roman" w:cs="Times New Roman"/>
          <w:sz w:val="28"/>
          <w:szCs w:val="28"/>
        </w:rPr>
        <w:t xml:space="preserve">-специалисты не включены в ЕТКС. Возможные наименования должностей, профессий:</w:t>
      </w:r>
      <w:r/>
    </w:p>
    <w:p>
      <w:pPr>
        <w:pStyle w:val="682"/>
        <w:numPr>
          <w:ilvl w:val="0"/>
          <w:numId w:val="12"/>
        </w:numPr>
        <w:ind w:left="142" w:firstLine="360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99"/>
          <w:rFonts w:ascii="Times New Roman" w:hAnsi="Times New Roman" w:cs="Times New Roman"/>
          <w:sz w:val="28"/>
          <w:szCs w:val="28"/>
        </w:rPr>
        <w:t xml:space="preserve">Технический специалист в области технологий информационного моделирования (далее - ТИМ)</w:t>
      </w:r>
      <w:r/>
    </w:p>
    <w:p>
      <w:pPr>
        <w:pStyle w:val="682"/>
        <w:numPr>
          <w:ilvl w:val="0"/>
          <w:numId w:val="12"/>
        </w:numPr>
        <w:ind w:left="142" w:firstLine="360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99"/>
          <w:rFonts w:ascii="Times New Roman" w:hAnsi="Times New Roman" w:cs="Times New Roman"/>
          <w:sz w:val="28"/>
          <w:szCs w:val="28"/>
        </w:rPr>
        <w:t xml:space="preserve">Техник отдела ТИ</w:t>
      </w:r>
      <w:r>
        <w:rPr>
          <w:rStyle w:val="699"/>
          <w:rFonts w:ascii="Times New Roman" w:hAnsi="Times New Roman" w:cs="Times New Roman"/>
          <w:sz w:val="28"/>
          <w:szCs w:val="28"/>
        </w:rPr>
        <w:t xml:space="preserve">М;</w:t>
      </w:r>
      <w:r/>
    </w:p>
    <w:p>
      <w:pPr>
        <w:pStyle w:val="682"/>
        <w:numPr>
          <w:ilvl w:val="0"/>
          <w:numId w:val="12"/>
        </w:numPr>
        <w:ind w:left="142" w:firstLine="360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99"/>
          <w:rFonts w:ascii="Times New Roman" w:hAnsi="Times New Roman" w:cs="Times New Roman"/>
          <w:sz w:val="28"/>
          <w:szCs w:val="28"/>
        </w:rPr>
        <w:t xml:space="preserve">Специалист-техник по поддержке пользователей ТИМ;</w:t>
      </w:r>
      <w:r/>
    </w:p>
    <w:p>
      <w:pPr>
        <w:pStyle w:val="682"/>
        <w:numPr>
          <w:ilvl w:val="0"/>
          <w:numId w:val="12"/>
        </w:numPr>
        <w:ind w:left="142" w:firstLine="360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99"/>
          <w:rFonts w:ascii="Times New Roman" w:hAnsi="Times New Roman" w:cs="Times New Roman"/>
          <w:sz w:val="28"/>
          <w:szCs w:val="28"/>
        </w:rPr>
        <w:t xml:space="preserve">ТИМ-техник;</w:t>
      </w:r>
      <w:r/>
    </w:p>
    <w:p>
      <w:pPr>
        <w:pStyle w:val="682"/>
        <w:numPr>
          <w:ilvl w:val="0"/>
          <w:numId w:val="12"/>
        </w:numPr>
        <w:ind w:left="142" w:firstLine="360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99"/>
          <w:rFonts w:ascii="Times New Roman" w:hAnsi="Times New Roman" w:cs="Times New Roman"/>
          <w:sz w:val="28"/>
          <w:szCs w:val="28"/>
        </w:rPr>
        <w:t xml:space="preserve">ТИМ-мастер.</w:t>
      </w:r>
      <w:r/>
    </w:p>
    <w:p>
      <w:pPr>
        <w:pStyle w:val="682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Отраслевые/корпоративные стандарты</w:t>
      </w:r>
      <w:r/>
    </w:p>
    <w:p>
      <w:pPr>
        <w:pStyle w:val="682"/>
        <w:numPr>
          <w:ilvl w:val="0"/>
          <w:numId w:val="13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Градостроительный кодекс РФ;</w:t>
      </w:r>
      <w:r/>
    </w:p>
    <w:p>
      <w:pPr>
        <w:pStyle w:val="682"/>
        <w:numPr>
          <w:ilvl w:val="0"/>
          <w:numId w:val="13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BIM</w:t>
      </w:r>
      <w:r>
        <w:rPr>
          <w:rFonts w:ascii="Times New Roman" w:hAnsi="Times New Roman" w:eastAsia="Calibri" w:cs="Times New Roman"/>
          <w:sz w:val="28"/>
          <w:szCs w:val="28"/>
        </w:rPr>
        <w:t xml:space="preserve">-стандарт АСКОН (</w:t>
      </w:r>
      <w:hyperlink r:id="rId10" w:tooltip="https://ascon.ru/bim-standart/" w:history="1">
        <w:r>
          <w:rPr>
            <w:rStyle w:val="700"/>
            <w:rFonts w:ascii="Times New Roman" w:hAnsi="Times New Roman" w:eastAsia="Calibri" w:cs="Times New Roman"/>
            <w:sz w:val="28"/>
            <w:szCs w:val="28"/>
            <w:lang w:val="ru-RU"/>
          </w:rPr>
          <w:t xml:space="preserve">https://ascon.ru/bim-standart/</w:t>
        </w:r>
      </w:hyperlink>
      <w:r>
        <w:rPr>
          <w:rFonts w:ascii="Times New Roman" w:hAnsi="Times New Roman" w:eastAsia="Calibri" w:cs="Times New Roman"/>
          <w:sz w:val="28"/>
          <w:szCs w:val="28"/>
        </w:rPr>
        <w:t xml:space="preserve">)</w:t>
      </w:r>
      <w:r/>
    </w:p>
    <w:p>
      <w:pPr>
        <w:pStyle w:val="682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ГОСТы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/>
      <w:bookmarkStart w:id="1" w:name="page3R_mcid0"/>
      <w:r/>
      <w:bookmarkEnd w:id="1"/>
      <w:r>
        <w:rPr>
          <w:rFonts w:ascii="Times New Roman" w:hAnsi="Times New Roman" w:cs="Times New Roman"/>
          <w:sz w:val="28"/>
          <w:szCs w:val="28"/>
        </w:rPr>
        <w:t xml:space="preserve">ГОСТ Р 21.101-2020 «Система проектной документации для строительства. Основные требования к проектной и рабочей документации»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678"/>
        <w:numPr>
          <w:ilvl w:val="0"/>
          <w:numId w:val="14"/>
        </w:numPr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 Р 54257-2010 «Надежность </w:t>
      </w:r>
      <w:r>
        <w:rPr>
          <w:rFonts w:ascii="Times New Roman" w:hAnsi="Times New Roman" w:cs="Times New Roman"/>
          <w:sz w:val="28"/>
          <w:szCs w:val="28"/>
        </w:rPr>
        <w:t xml:space="preserve">строительных конструкций и оснований. Основные положения и требования»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 Р 10.0.02-2019/ ИСО 16739-1:2018 «Система стандартов информационного моделирования зданий и сооружений. Отраслевые базовые классы (IFC) для обмена и управления данными об объектах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строительства. Часть 1 Схема данных»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 Р 10.0.03-2019/ ИСО 29481-1:2016 «Система стандартов информационного моделирования зданий и сооружений. Информационное моделирование в строительстве. Справочник по обмену информацией. Часть 1. Методология и форм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ат»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 Р 10.0.05-2019/ ИСО 12006-2:2015 «Система стандартов информационного моделирования зданий и сооружений. Строительство зданий. Структура информации об объектах строительства. Часть 2. Основные принципы классификации»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-ГОСТ Р 57309-2016/</w:t>
      </w:r>
      <w:r>
        <w:rPr>
          <w:rFonts w:ascii="Times New Roman" w:hAnsi="Times New Roman" w:cs="Times New Roman"/>
          <w:sz w:val="28"/>
          <w:szCs w:val="28"/>
        </w:rPr>
        <w:t xml:space="preserve">ИСО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16354</w:t>
      </w:r>
      <w:r>
        <w:rPr>
          <w:rFonts w:ascii="Times New Roman" w:hAnsi="Times New Roman" w:eastAsia="Calibri" w:cs="Times New Roman"/>
          <w:sz w:val="28"/>
          <w:szCs w:val="28"/>
        </w:rPr>
        <w:t xml:space="preserve">:2013 «Руководящие принципы по библиотекам знаний и библиотекам объектов»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 Р 57563-2017/ISO/TS 12911:2012 «Моделирование информационное в строительстве. Основные положения по разработке стандартов информационного моделирования зданий и сооружений»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 Р 58438.1-2019 «Структуры данных электронных каталогов продукции для инженерных систем зданий. Часть 1. Понятия, архитектура и модель»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 Р ИСО 22263-2017 «Модель организации данных о строительных работах. Структура управления проектной информацие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й»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 Р 58908.1-2020 / МЭК 81346-1-2019 «Промышленные системы, установки, оборудование и промышленная продукция. Принципы структурирования и коды. Часть 1. Основные правила»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pStyle w:val="682"/>
        <w:numPr>
          <w:ilvl w:val="0"/>
          <w:numId w:val="14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 Р 58908.12-2020/ ИСО 81346-12—2019 «Промышленные системы, установки, об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орудование и промышленная продукция. Принципы структурирования и коды. Часть 12. Объекты капитального строительства и системы инженерно-технического обеспечения»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pStyle w:val="682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СанПин</w:t>
      </w:r>
      <w:r/>
    </w:p>
    <w:p>
      <w:pPr>
        <w:pStyle w:val="682"/>
        <w:numPr>
          <w:ilvl w:val="0"/>
          <w:numId w:val="16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П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2.2.3670-20 </w:t>
      </w:r>
      <w:r>
        <w:rPr>
          <w:rFonts w:ascii="Times New Roman" w:hAnsi="Times New Roman" w:eastAsia="Calibri" w:cs="Times New Roman"/>
          <w:sz w:val="28"/>
          <w:szCs w:val="28"/>
        </w:rPr>
        <w:t xml:space="preserve">«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Санитарно-эпидемиологические требования к условиям труда</w:t>
      </w:r>
      <w:r>
        <w:rPr>
          <w:rFonts w:ascii="Times New Roman" w:hAnsi="Times New Roman" w:eastAsia="Calibri" w:cs="Times New Roman"/>
          <w:sz w:val="28"/>
          <w:szCs w:val="28"/>
        </w:rPr>
        <w:t xml:space="preserve">».</w:t>
      </w:r>
      <w:r/>
    </w:p>
    <w:p>
      <w:pPr>
        <w:pStyle w:val="6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2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 </w:t>
      </w:r>
      <w:r>
        <w:rPr>
          <w:rFonts w:ascii="Times New Roman" w:hAnsi="Times New Roman" w:cs="Times New Roman"/>
          <w:sz w:val="28"/>
          <w:szCs w:val="28"/>
        </w:rPr>
        <w:t xml:space="preserve">(СНИП)</w:t>
      </w:r>
      <w:r/>
    </w:p>
    <w:p>
      <w:pPr>
        <w:pStyle w:val="691"/>
        <w:numPr>
          <w:ilvl w:val="0"/>
          <w:numId w:val="17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 331.1325800.2017 «Информационное моделирование в строительстве. Правила обмена между информационными моделями объектов и моделями, используемыми в программных комплексах»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691"/>
        <w:numPr>
          <w:ilvl w:val="0"/>
          <w:numId w:val="17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 301.1325800.2017 «Информационное моделирование в </w:t>
      </w:r>
      <w:r>
        <w:rPr>
          <w:rFonts w:ascii="Times New Roman" w:hAnsi="Times New Roman"/>
          <w:sz w:val="28"/>
          <w:szCs w:val="28"/>
        </w:rPr>
        <w:t xml:space="preserve">строительстве. Правила организации работ производственно-техническими отделами»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691"/>
        <w:numPr>
          <w:ilvl w:val="0"/>
          <w:numId w:val="17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 328.1325800.2020 «Информационное моделирование в строительстве. Правила описания компонентов информационной модели»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691"/>
        <w:numPr>
          <w:ilvl w:val="0"/>
          <w:numId w:val="17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 333.1325800.2020 «Информационное моделирование в с</w:t>
      </w:r>
      <w:r>
        <w:rPr>
          <w:rFonts w:ascii="Times New Roman" w:hAnsi="Times New Roman"/>
          <w:sz w:val="28"/>
          <w:szCs w:val="28"/>
        </w:rPr>
        <w:t xml:space="preserve">троительстве. Правила формирования информационной модели объектов на различных стадиях жизненного цикла»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691"/>
        <w:numPr>
          <w:ilvl w:val="0"/>
          <w:numId w:val="17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 480.1325800.2020 «Информационное моделирование в строительстве. Требования к формированию информационных моделей объектов капитального строительст</w:t>
      </w:r>
      <w:r>
        <w:rPr>
          <w:rFonts w:ascii="Times New Roman" w:hAnsi="Times New Roman"/>
          <w:sz w:val="28"/>
          <w:szCs w:val="28"/>
        </w:rPr>
        <w:t xml:space="preserve">ва для эксплуатации многоквартирных домов»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691"/>
        <w:numPr>
          <w:ilvl w:val="0"/>
          <w:numId w:val="17"/>
        </w:num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 481.1325800.2020 «Информационное моделирование в строительстве. Правила применения в экономически эффективной проектной документации повторного использования и при ее привязке»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682"/>
        <w:jc w:val="both"/>
        <w:spacing w:after="0" w:line="276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/>
    </w:p>
    <w:p>
      <w:pPr>
        <w:pStyle w:val="682"/>
        <w:ind w:firstLine="709"/>
        <w:jc w:val="both"/>
        <w:keepNext/>
        <w:spacing w:after="0" w:line="276" w:lineRule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Перечень профессиональных зада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ч специалиста по компетенции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пр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еделяется профессиональной областью специалиста и базируется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на 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</w:t>
      </w:r>
      <w:r/>
    </w:p>
    <w:p>
      <w:pPr>
        <w:pStyle w:val="682"/>
        <w:ind w:firstLine="709"/>
        <w:jc w:val="both"/>
        <w:keepNext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  <w:outlineLvl w:val="1"/>
      </w:pPr>
      <w:r>
        <w:rPr>
          <w:rFonts w:ascii="Times New Roman" w:hAnsi="Times New Roman" w:eastAsia="Calibri" w:cs="Times New Roman"/>
          <w:i/>
          <w:sz w:val="28"/>
          <w:szCs w:val="28"/>
        </w:rPr>
      </w:r>
      <w:r/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"/>
        <w:gridCol w:w="8561"/>
      </w:tblGrid>
      <w:tr>
        <w:trPr/>
        <w:tc>
          <w:tcPr>
            <w:shd w:val="clear" w:color="auto" w:fill="92d050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№ п/п</w:t>
            </w:r>
            <w:r/>
          </w:p>
        </w:tc>
        <w:tc>
          <w:tcPr>
            <w:shd w:val="clear" w:color="auto" w:fill="92d050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textDirection w:val="lrTb"/>
            <w:noWrap w:val="false"/>
          </w:tcPr>
          <w:p>
            <w:pPr>
              <w:pStyle w:val="682"/>
              <w:spacing w:after="0" w:line="276" w:lineRule="auto"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Виды деятельности/трудовые функции</w:t>
            </w:r>
            <w:r/>
          </w:p>
        </w:tc>
      </w:tr>
      <w:tr>
        <w:trPr/>
        <w:tc>
          <w:tcPr>
            <w:shd w:val="clear" w:color="auto" w:fill="bfbfb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vAlign w:val="center"/>
            <w:textDirection w:val="lrTb"/>
            <w:noWrap w:val="false"/>
          </w:tcPr>
          <w:p>
            <w:pPr>
              <w:pStyle w:val="682"/>
              <w:jc w:val="both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Style w:val="699"/>
                <w:rFonts w:ascii="Times New Roman" w:hAnsi="Times New Roman" w:eastAsia="Calibri" w:cs="Times New Roman"/>
                <w:sz w:val="28"/>
                <w:szCs w:val="28"/>
              </w:rPr>
              <w:t xml:space="preserve">Адаптация и сопровождение программных средств в </w:t>
            </w:r>
            <w:r>
              <w:rPr>
                <w:rStyle w:val="699"/>
                <w:rFonts w:ascii="Times New Roman" w:hAnsi="Times New Roman" w:eastAsia="Calibri" w:cs="Times New Roman"/>
                <w:sz w:val="28"/>
                <w:szCs w:val="28"/>
              </w:rPr>
              <w:t xml:space="preserve">соответствии со стандартами применения технологий информационного моделирования ОКС в организации</w:t>
            </w:r>
            <w:r/>
          </w:p>
        </w:tc>
      </w:tr>
      <w:tr>
        <w:trPr/>
        <w:tc>
          <w:tcPr>
            <w:shd w:val="clear" w:color="auto" w:fill="bfbfb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vAlign w:val="center"/>
            <w:textDirection w:val="lrTb"/>
            <w:noWrap w:val="false"/>
          </w:tcPr>
          <w:p>
            <w:pPr>
              <w:pStyle w:val="682"/>
              <w:jc w:val="both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Style w:val="699"/>
                <w:rFonts w:ascii="Times New Roman" w:hAnsi="Times New Roman" w:eastAsia="Calibri" w:cs="Times New Roman"/>
                <w:sz w:val="28"/>
                <w:szCs w:val="28"/>
              </w:rPr>
              <w:t xml:space="preserve">Подготовка контента электронных справочников, библиотек компонентов и баз данных для информационного моделирования ОКС в соответствии с заданием</w:t>
            </w:r>
            <w:r/>
          </w:p>
        </w:tc>
      </w:tr>
      <w:tr>
        <w:trPr/>
        <w:tc>
          <w:tcPr>
            <w:shd w:val="clear" w:color="auto" w:fill="bfbfb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vAlign w:val="center"/>
            <w:textDirection w:val="lrTb"/>
            <w:noWrap w:val="false"/>
          </w:tcPr>
          <w:p>
            <w:pPr>
              <w:pStyle w:val="682"/>
              <w:jc w:val="both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Style w:val="699"/>
                <w:rFonts w:ascii="Times New Roman" w:hAnsi="Times New Roman" w:eastAsia="Calibri" w:cs="Times New Roman"/>
                <w:sz w:val="28"/>
                <w:szCs w:val="28"/>
              </w:rPr>
              <w:t xml:space="preserve">Автоматизация и сопровождение решения задач формирования, анализа и передачи данных об ОКС средствами программ информационного моделирования</w:t>
            </w:r>
            <w:r/>
          </w:p>
        </w:tc>
      </w:tr>
      <w:tr>
        <w:trPr/>
        <w:tc>
          <w:tcPr>
            <w:shd w:val="clear" w:color="auto" w:fill="bfbfb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vAlign w:val="center"/>
            <w:textDirection w:val="lrTb"/>
            <w:noWrap w:val="false"/>
          </w:tcPr>
          <w:p>
            <w:pPr>
              <w:pStyle w:val="682"/>
              <w:jc w:val="both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Style w:val="699"/>
                <w:rFonts w:ascii="Times New Roman" w:hAnsi="Times New Roman" w:eastAsia="Calibri" w:cs="Times New Roman"/>
                <w:sz w:val="28"/>
                <w:szCs w:val="28"/>
              </w:rPr>
              <w:t xml:space="preserve">Формирование, обработка и актуализация данных структурных элементов информационной модели при решении профильны</w:t>
            </w:r>
            <w:r>
              <w:rPr>
                <w:rStyle w:val="699"/>
                <w:rFonts w:ascii="Times New Roman" w:hAnsi="Times New Roman" w:eastAsia="Calibri" w:cs="Times New Roman"/>
                <w:sz w:val="28"/>
                <w:szCs w:val="28"/>
              </w:rPr>
              <w:t xml:space="preserve">х задач на этапе жизненного цикла ОКС</w:t>
            </w:r>
            <w:r/>
          </w:p>
        </w:tc>
      </w:tr>
      <w:tr>
        <w:trPr/>
        <w:tc>
          <w:tcPr>
            <w:shd w:val="clear" w:color="auto" w:fill="bfbfbf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vAlign w:val="center"/>
            <w:textDirection w:val="lrTb"/>
            <w:noWrap w:val="false"/>
          </w:tcPr>
          <w:p>
            <w:pPr>
              <w:pStyle w:val="682"/>
              <w:jc w:val="both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Style w:val="699"/>
                <w:rFonts w:ascii="Times New Roman" w:hAnsi="Times New Roman" w:eastAsia="Calibri" w:cs="Times New Roman"/>
                <w:sz w:val="28"/>
                <w:szCs w:val="28"/>
              </w:rPr>
              <w:t xml:space="preserve">Формирование технической документации информационной модели ОКС</w:t>
            </w:r>
            <w:r/>
          </w:p>
        </w:tc>
      </w:tr>
      <w:tr>
        <w:trPr/>
        <w:tc>
          <w:tcPr>
            <w:shd w:val="clear" w:color="auto" w:fill="bfbfbf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vAlign w:val="center"/>
            <w:textDirection w:val="lrTb"/>
            <w:noWrap w:val="false"/>
          </w:tcPr>
          <w:p>
            <w:pPr>
              <w:pStyle w:val="682"/>
              <w:jc w:val="both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Style w:val="699"/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Организация коллективной работы с информационной моделью ОКС</w:t>
            </w:r>
            <w:r/>
          </w:p>
        </w:tc>
      </w:tr>
      <w:tr>
        <w:trPr/>
        <w:tc>
          <w:tcPr>
            <w:shd w:val="clear" w:color="auto" w:fill="bfbfbf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vAlign w:val="center"/>
            <w:textDirection w:val="lrTb"/>
            <w:noWrap w:val="false"/>
          </w:tcPr>
          <w:p>
            <w:pPr>
              <w:pStyle w:val="682"/>
              <w:jc w:val="both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Style w:val="699"/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Проверка структурных элементов информационной модели на соответствие </w:t>
            </w:r>
            <w:r>
              <w:rPr>
                <w:rStyle w:val="699"/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требованиям к информационной модели ОКС</w:t>
            </w:r>
            <w:r/>
          </w:p>
        </w:tc>
      </w:tr>
      <w:tr>
        <w:trPr/>
        <w:tc>
          <w:tcPr>
            <w:shd w:val="clear" w:color="auto" w:fill="bfbfbf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61" w:type="dxa"/>
            <w:vAlign w:val="center"/>
            <w:textDirection w:val="lrTb"/>
            <w:noWrap w:val="false"/>
          </w:tcPr>
          <w:p>
            <w:pPr>
              <w:pStyle w:val="682"/>
              <w:jc w:val="both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Style w:val="699"/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Контроль выполнения плана реализации проекта информационного моделирования ОКС</w:t>
            </w:r>
            <w:r/>
          </w:p>
        </w:tc>
      </w:tr>
    </w:tbl>
    <w:p>
      <w:pPr>
        <w:pStyle w:val="682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both"/>
        <w:spacing w:line="360" w:lineRule="auto"/>
        <w:tabs>
          <w:tab w:val="left" w:pos="3516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682"/>
        <w:jc w:val="center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1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OpenSymbol">
    <w:panose1 w:val="05010000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Microsoft YaHei">
    <w:panose1 w:val="020F0502020204030204"/>
  </w:font>
  <w:font w:name="Segoe UI">
    <w:panose1 w:val="020B0502040504020204"/>
  </w:font>
  <w:font w:name="Liberation Serif">
    <w:panose1 w:val="02020603050405020304"/>
  </w:font>
  <w:font w:name="Arial Unicode MS">
    <w:panose1 w:val="020B0604020202020204"/>
  </w:font>
  <w:font w:name="Arial">
    <w:panose1 w:val="020B0604020202020204"/>
  </w:font>
  <w:font w:name="SimSun">
    <w:panose1 w:val="02020603020101020101"/>
  </w:font>
  <w:font w:name="Tahoma">
    <w:panose1 w:val="020B050603060203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  <w:jc w:val="center"/>
    </w:pPr>
    <w:r>
      <w:t xml:space="preserve">2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707"/>
    <w:lvl w:ilvl="0">
      <w:start w:val="1"/>
      <w:numFmt w:val="bullet"/>
      <w:pStyle w:val="707"/>
      <w:isLgl w:val="false"/>
      <w:suff w:val="tab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">
    <w:multiLevelType w:val="hybridMultilevel"/>
    <w:styleLink w:val="708"/>
    <w:lvl w:ilvl="0">
      <w:start w:val="1"/>
      <w:numFmt w:val="bullet"/>
      <w:pStyle w:val="708"/>
      <w:isLgl w:val="false"/>
      <w:suff w:val="tab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styleLink w:val="706"/>
    <w:lvl w:ilvl="0">
      <w:start w:val="1"/>
      <w:numFmt w:val="bullet"/>
      <w:pStyle w:val="706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855" w:hanging="495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5">
    <w:multiLevelType w:val="hybridMultilevel"/>
    <w:styleLink w:val="705"/>
    <w:lvl w:ilvl="0">
      <w:start w:val="1"/>
      <w:numFmt w:val="none"/>
      <w:pStyle w:val="705"/>
      <w:isLgl w:val="false"/>
      <w:suff w:val="tab"/>
      <w:lvlText w:val="%1"/>
      <w:lvlJc w:val="left"/>
      <w:pPr/>
    </w:lvl>
    <w:lvl w:ilvl="1">
      <w:start w:val="1"/>
      <w:numFmt w:val="none"/>
      <w:isLgl w:val="false"/>
      <w:suff w:val="tab"/>
      <w:lvlText w:val="%2"/>
      <w:lvlJc w:val="left"/>
      <w:pPr/>
    </w:lvl>
    <w:lvl w:ilvl="2">
      <w:start w:val="1"/>
      <w:numFmt w:val="none"/>
      <w:isLgl w:val="false"/>
      <w:suff w:val="tab"/>
      <w:lvlText w:val="%3"/>
      <w:lvlJc w:val="left"/>
      <w:pPr/>
    </w:lvl>
    <w:lvl w:ilvl="3">
      <w:start w:val="1"/>
      <w:numFmt w:val="none"/>
      <w:isLgl w:val="false"/>
      <w:suff w:val="tab"/>
      <w:lvlText w:val="%4"/>
      <w:lvlJc w:val="left"/>
      <w:pPr/>
    </w:lvl>
    <w:lvl w:ilvl="4">
      <w:start w:val="1"/>
      <w:numFmt w:val="none"/>
      <w:isLgl w:val="false"/>
      <w:suff w:val="tab"/>
      <w:lvlText w:val="%5"/>
      <w:lvlJc w:val="left"/>
      <w:pPr/>
    </w:lvl>
    <w:lvl w:ilvl="5">
      <w:start w:val="1"/>
      <w:numFmt w:val="none"/>
      <w:isLgl w:val="false"/>
      <w:suff w:val="tab"/>
      <w:lvlText w:val="%6"/>
      <w:lvlJc w:val="left"/>
      <w:pPr/>
    </w:lvl>
    <w:lvl w:ilvl="6">
      <w:start w:val="1"/>
      <w:numFmt w:val="none"/>
      <w:isLgl w:val="false"/>
      <w:suff w:val="tab"/>
      <w:lvlText w:val="%7"/>
      <w:lvlJc w:val="left"/>
      <w:pPr/>
    </w:lvl>
    <w:lvl w:ilvl="7">
      <w:start w:val="1"/>
      <w:numFmt w:val="none"/>
      <w:isLgl w:val="false"/>
      <w:suff w:val="tab"/>
      <w:lvlText w:val="%8"/>
      <w:lvlJc w:val="left"/>
      <w:pPr/>
    </w:lvl>
    <w:lvl w:ilvl="8">
      <w:start w:val="1"/>
      <w:numFmt w:val="none"/>
      <w:isLgl w:val="false"/>
      <w:suff w:val="tab"/>
      <w:lvlText w:val="%9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Courier New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6"/>
  </w:num>
  <w:num w:numId="10">
    <w:abstractNumId w:val="9"/>
  </w:num>
  <w:num w:numId="11">
    <w:abstractNumId w:val="8"/>
  </w:num>
  <w:num w:numId="12">
    <w:abstractNumId w:val="12"/>
  </w:num>
  <w:num w:numId="13">
    <w:abstractNumId w:val="3"/>
  </w:num>
  <w:num w:numId="14">
    <w:abstractNumId w:val="10"/>
  </w:num>
  <w:num w:numId="15">
    <w:abstractNumId w:val="7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Tahoma"/>
        <w:szCs w:val="22"/>
        <w:lang w:val="ru-RU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79"/>
    <w:link w:val="676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79"/>
    <w:link w:val="677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75"/>
    <w:next w:val="675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79"/>
    <w:link w:val="16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79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75"/>
    <w:next w:val="675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7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75"/>
    <w:next w:val="675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7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75"/>
    <w:next w:val="675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7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75"/>
    <w:next w:val="675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7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75"/>
    <w:next w:val="675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7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679"/>
    <w:link w:val="688"/>
    <w:uiPriority w:val="10"/>
    <w:rPr>
      <w:sz w:val="48"/>
      <w:szCs w:val="48"/>
    </w:rPr>
  </w:style>
  <w:style w:type="character" w:styleId="36">
    <w:name w:val="Subtitle Char"/>
    <w:basedOn w:val="679"/>
    <w:link w:val="689"/>
    <w:uiPriority w:val="11"/>
    <w:rPr>
      <w:sz w:val="24"/>
      <w:szCs w:val="24"/>
    </w:rPr>
  </w:style>
  <w:style w:type="paragraph" w:styleId="37">
    <w:name w:val="Quote"/>
    <w:basedOn w:val="675"/>
    <w:next w:val="675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75"/>
    <w:next w:val="675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79"/>
    <w:link w:val="693"/>
    <w:uiPriority w:val="99"/>
  </w:style>
  <w:style w:type="character" w:styleId="44">
    <w:name w:val="Footer Char"/>
    <w:basedOn w:val="679"/>
    <w:link w:val="694"/>
    <w:uiPriority w:val="99"/>
  </w:style>
  <w:style w:type="character" w:styleId="46">
    <w:name w:val="Caption Char"/>
    <w:basedOn w:val="686"/>
    <w:link w:val="694"/>
    <w:uiPriority w:val="99"/>
  </w:style>
  <w:style w:type="table" w:styleId="47">
    <w:name w:val="Table Grid"/>
    <w:basedOn w:val="6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75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79"/>
    <w:uiPriority w:val="99"/>
    <w:unhideWhenUsed/>
    <w:rPr>
      <w:vertAlign w:val="superscript"/>
    </w:rPr>
  </w:style>
  <w:style w:type="paragraph" w:styleId="177">
    <w:name w:val="endnote text"/>
    <w:basedOn w:val="675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79"/>
    <w:uiPriority w:val="99"/>
    <w:semiHidden/>
    <w:unhideWhenUsed/>
    <w:rPr>
      <w:vertAlign w:val="superscript"/>
    </w:rPr>
  </w:style>
  <w:style w:type="paragraph" w:styleId="180">
    <w:name w:val="toc 1"/>
    <w:basedOn w:val="675"/>
    <w:next w:val="675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75"/>
    <w:next w:val="675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75"/>
    <w:next w:val="675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75"/>
    <w:next w:val="675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75"/>
    <w:next w:val="675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75"/>
    <w:next w:val="675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75"/>
    <w:next w:val="675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75"/>
    <w:next w:val="675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75"/>
    <w:next w:val="675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75"/>
    <w:next w:val="675"/>
    <w:uiPriority w:val="99"/>
    <w:unhideWhenUsed/>
    <w:pPr>
      <w:spacing w:after="0" w:afterAutospacing="0"/>
    </w:pPr>
  </w:style>
  <w:style w:type="paragraph" w:styleId="675" w:default="1">
    <w:name w:val="Normal"/>
    <w:qFormat/>
  </w:style>
  <w:style w:type="paragraph" w:styleId="676">
    <w:name w:val="Heading 1"/>
    <w:basedOn w:val="688"/>
    <w:next w:val="684"/>
    <w:uiPriority w:val="9"/>
    <w:qFormat/>
    <w:pPr>
      <w:outlineLvl w:val="0"/>
    </w:pPr>
    <w:rPr>
      <w:rFonts w:ascii="Liberation Serif" w:hAnsi="Liberation Serif" w:eastAsia="Segoe UI" w:cs="Tahoma"/>
      <w:sz w:val="48"/>
      <w:szCs w:val="48"/>
    </w:rPr>
  </w:style>
  <w:style w:type="paragraph" w:styleId="677">
    <w:name w:val="Heading 2"/>
    <w:basedOn w:val="688"/>
    <w:next w:val="684"/>
    <w:uiPriority w:val="9"/>
    <w:unhideWhenUsed/>
    <w:qFormat/>
    <w:pPr>
      <w:spacing w:before="200"/>
      <w:outlineLvl w:val="1"/>
    </w:pPr>
    <w:rPr>
      <w:rFonts w:ascii="Liberation Serif" w:hAnsi="Liberation Serif" w:eastAsia="Segoe UI" w:cs="Tahoma"/>
      <w:sz w:val="36"/>
      <w:szCs w:val="36"/>
    </w:rPr>
  </w:style>
  <w:style w:type="paragraph" w:styleId="678">
    <w:name w:val="Heading 4"/>
    <w:basedOn w:val="688"/>
    <w:next w:val="684"/>
    <w:uiPriority w:val="9"/>
    <w:unhideWhenUsed/>
    <w:qFormat/>
    <w:pPr>
      <w:spacing w:before="120"/>
      <w:outlineLvl w:val="3"/>
    </w:pPr>
    <w:rPr>
      <w:rFonts w:ascii="Liberation Serif" w:hAnsi="Liberation Serif" w:eastAsia="Segoe UI" w:cs="Tahoma"/>
      <w:sz w:val="24"/>
      <w:szCs w:val="24"/>
    </w:rPr>
  </w:style>
  <w:style w:type="character" w:styleId="679" w:default="1">
    <w:name w:val="Default Paragraph Font"/>
    <w:uiPriority w:val="1"/>
    <w:semiHidden/>
    <w:unhideWhenUsed/>
  </w:style>
  <w:style w:type="table" w:styleId="6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1" w:default="1">
    <w:name w:val="No List"/>
    <w:uiPriority w:val="99"/>
    <w:semiHidden/>
    <w:unhideWhenUsed/>
  </w:style>
  <w:style w:type="paragraph" w:styleId="682" w:customStyle="1">
    <w:name w:val="Standard"/>
    <w:pPr>
      <w:spacing w:after="160" w:line="256" w:lineRule="auto"/>
      <w:widowControl/>
    </w:pPr>
    <w:rPr>
      <w:sz w:val="22"/>
    </w:rPr>
  </w:style>
  <w:style w:type="paragraph" w:styleId="683" w:customStyle="1">
    <w:name w:val="Heading"/>
    <w:basedOn w:val="682"/>
    <w:next w:val="684"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684" w:customStyle="1">
    <w:name w:val="Text body"/>
    <w:basedOn w:val="682"/>
    <w:pPr>
      <w:spacing w:after="140" w:line="276" w:lineRule="auto"/>
    </w:pPr>
  </w:style>
  <w:style w:type="paragraph" w:styleId="685">
    <w:name w:val="List"/>
    <w:basedOn w:val="684"/>
    <w:rPr>
      <w:rFonts w:cs="Arial Unicode MS"/>
    </w:rPr>
  </w:style>
  <w:style w:type="paragraph" w:styleId="686">
    <w:name w:val="Caption"/>
    <w:basedOn w:val="682"/>
    <w:pPr>
      <w:spacing w:before="120" w:after="120"/>
      <w:suppressLineNumbers/>
    </w:pPr>
    <w:rPr>
      <w:rFonts w:cs="Arial Unicode MS"/>
      <w:i/>
      <w:iCs/>
      <w:sz w:val="24"/>
      <w:szCs w:val="24"/>
    </w:rPr>
  </w:style>
  <w:style w:type="paragraph" w:styleId="687" w:customStyle="1">
    <w:name w:val="Index"/>
    <w:basedOn w:val="682"/>
    <w:pPr>
      <w:suppressLineNumbers/>
    </w:pPr>
    <w:rPr>
      <w:rFonts w:cs="Arial Unicode MS"/>
    </w:rPr>
  </w:style>
  <w:style w:type="paragraph" w:styleId="688">
    <w:name w:val="Title"/>
    <w:basedOn w:val="682"/>
    <w:next w:val="689"/>
    <w:uiPriority w:val="10"/>
    <w:qFormat/>
    <w:pPr>
      <w:keepNext/>
      <w:spacing w:before="240" w:after="120"/>
    </w:pPr>
    <w:rPr>
      <w:rFonts w:ascii="Liberation Sans" w:hAnsi="Liberation Sans" w:eastAsia="Microsoft YaHei" w:cs="Arial Unicode MS"/>
      <w:b/>
      <w:bCs/>
      <w:sz w:val="28"/>
      <w:szCs w:val="28"/>
    </w:rPr>
  </w:style>
  <w:style w:type="paragraph" w:styleId="689">
    <w:name w:val="Subtitle"/>
    <w:basedOn w:val="683"/>
    <w:next w:val="684"/>
    <w:uiPriority w:val="11"/>
    <w:qFormat/>
    <w:pPr>
      <w:jc w:val="center"/>
    </w:pPr>
    <w:rPr>
      <w:i/>
      <w:iCs/>
    </w:rPr>
  </w:style>
  <w:style w:type="paragraph" w:styleId="690">
    <w:name w:val="index heading"/>
    <w:basedOn w:val="682"/>
    <w:pPr>
      <w:suppressLineNumbers/>
    </w:pPr>
    <w:rPr>
      <w:rFonts w:cs="Arial Unicode MS"/>
    </w:rPr>
  </w:style>
  <w:style w:type="paragraph" w:styleId="691">
    <w:name w:val="List Paragraph"/>
    <w:basedOn w:val="682"/>
    <w:pPr>
      <w:ind w:left="720"/>
      <w:spacing w:after="200" w:line="276" w:lineRule="auto"/>
    </w:pPr>
    <w:rPr>
      <w:rFonts w:eastAsia="Calibri" w:cs="Times New Roman"/>
    </w:rPr>
  </w:style>
  <w:style w:type="paragraph" w:styleId="692" w:customStyle="1">
    <w:name w:val="Header and Footer"/>
    <w:basedOn w:val="682"/>
  </w:style>
  <w:style w:type="paragraph" w:styleId="693">
    <w:name w:val="Header"/>
    <w:basedOn w:val="682"/>
    <w:pPr>
      <w:spacing w:after="0" w:line="240" w:lineRule="auto"/>
      <w:tabs>
        <w:tab w:val="center" w:pos="4677" w:leader="none"/>
        <w:tab w:val="right" w:pos="9355" w:leader="none"/>
      </w:tabs>
      <w:suppressLineNumbers/>
    </w:pPr>
  </w:style>
  <w:style w:type="paragraph" w:styleId="694">
    <w:name w:val="Footer"/>
    <w:basedOn w:val="682"/>
    <w:pPr>
      <w:spacing w:after="0" w:line="240" w:lineRule="auto"/>
      <w:tabs>
        <w:tab w:val="center" w:pos="4677" w:leader="none"/>
        <w:tab w:val="right" w:pos="9355" w:leader="none"/>
      </w:tabs>
      <w:suppressLineNumbers/>
    </w:pPr>
  </w:style>
  <w:style w:type="paragraph" w:styleId="695" w:customStyle="1">
    <w:name w:val="Table Contents"/>
    <w:basedOn w:val="682"/>
    <w:pPr>
      <w:suppressLineNumbers/>
    </w:pPr>
  </w:style>
  <w:style w:type="character" w:styleId="696" w:customStyle="1">
    <w:name w:val="Абзац списка Знак"/>
    <w:basedOn w:val="679"/>
    <w:rPr>
      <w:rFonts w:ascii="Calibri" w:hAnsi="Calibri" w:eastAsia="Calibri" w:cs="Times New Roman"/>
    </w:rPr>
  </w:style>
  <w:style w:type="character" w:styleId="697" w:customStyle="1">
    <w:name w:val="Верхний колонтитул Знак"/>
    <w:basedOn w:val="679"/>
  </w:style>
  <w:style w:type="character" w:styleId="698" w:customStyle="1">
    <w:name w:val="Нижний колонтитул Знак"/>
    <w:basedOn w:val="679"/>
  </w:style>
  <w:style w:type="character" w:styleId="699">
    <w:name w:val="Emphasis"/>
    <w:rPr>
      <w:i/>
      <w:iCs/>
    </w:rPr>
  </w:style>
  <w:style w:type="character" w:styleId="700" w:customStyle="1">
    <w:name w:val="Internet link"/>
    <w:rPr>
      <w:color w:val="000080"/>
      <w:u w:val="single"/>
    </w:rPr>
  </w:style>
  <w:style w:type="character" w:styleId="701" w:customStyle="1">
    <w:name w:val="Strong Emphasis"/>
    <w:rPr>
      <w:b/>
      <w:bCs/>
    </w:rPr>
  </w:style>
  <w:style w:type="character" w:styleId="702" w:customStyle="1">
    <w:name w:val="Bullet Symbols"/>
    <w:rPr>
      <w:rFonts w:ascii="OpenSymbol" w:hAnsi="OpenSymbol" w:eastAsia="OpenSymbol" w:cs="OpenSymbol"/>
    </w:rPr>
  </w:style>
  <w:style w:type="character" w:styleId="703" w:customStyle="1">
    <w:name w:val="ListLabel 1"/>
    <w:rPr>
      <w:rFonts w:cs="Symbol"/>
      <w:sz w:val="28"/>
    </w:rPr>
  </w:style>
  <w:style w:type="character" w:styleId="704" w:customStyle="1">
    <w:name w:val="ListLabel 2"/>
    <w:rPr>
      <w:rFonts w:cs="OpenSymbol"/>
    </w:rPr>
  </w:style>
  <w:style w:type="numbering" w:styleId="705" w:customStyle="1">
    <w:name w:val="WWNum1"/>
    <w:basedOn w:val="681"/>
    <w:pPr>
      <w:numPr>
        <w:numId w:val="1"/>
      </w:numPr>
    </w:pPr>
  </w:style>
  <w:style w:type="numbering" w:styleId="706" w:customStyle="1">
    <w:name w:val="WWNum2"/>
    <w:basedOn w:val="681"/>
    <w:pPr>
      <w:numPr>
        <w:numId w:val="2"/>
      </w:numPr>
    </w:pPr>
  </w:style>
  <w:style w:type="numbering" w:styleId="707" w:customStyle="1">
    <w:name w:val="WWNum3"/>
    <w:basedOn w:val="681"/>
    <w:pPr>
      <w:numPr>
        <w:numId w:val="3"/>
      </w:numPr>
    </w:pPr>
  </w:style>
  <w:style w:type="numbering" w:styleId="708" w:customStyle="1">
    <w:name w:val="WWNum4"/>
    <w:basedOn w:val="681"/>
    <w:pPr>
      <w:numPr>
        <w:numId w:val="4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ascon.ru/bim-standar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Ангелина Белокурова</cp:lastModifiedBy>
  <cp:revision>3</cp:revision>
  <dcterms:created xsi:type="dcterms:W3CDTF">2023-02-05T08:26:00Z</dcterms:created>
  <dcterms:modified xsi:type="dcterms:W3CDTF">2023-03-14T18:13:14Z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0.000000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